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AC1798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  <w:r w:rsidRPr="00AC1798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AC1798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227408" w:rsidRPr="00AC1798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635862" w:rsidRPr="00AC1798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798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</w:p>
    <w:p w:rsidR="00742A9E" w:rsidRPr="00AC1798" w:rsidRDefault="00635862" w:rsidP="006358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b/>
          <w:bCs/>
          <w:sz w:val="28"/>
          <w:szCs w:val="28"/>
        </w:rPr>
        <w:t>«Об определении формы проведения торгов на право заключения договоров на установку и эксплуатацию рекламных конструкций и о порядках определения начального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</w:t>
      </w:r>
      <w:r w:rsidR="00DE4EE0" w:rsidRPr="00AC17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DD10AB" w:rsidRPr="00AC1798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AC1798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100</w:t>
      </w:r>
      <w:r w:rsidR="00742A9E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18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.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04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.20</w:t>
      </w:r>
      <w:r w:rsidR="00721FEC" w:rsidRPr="00AC1798">
        <w:rPr>
          <w:rFonts w:ascii="Times New Roman" w:hAnsi="Times New Roman" w:cs="Times New Roman"/>
          <w:b/>
          <w:sz w:val="28"/>
          <w:szCs w:val="28"/>
        </w:rPr>
        <w:t>2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AC1798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AC1798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AC1798" w:rsidRDefault="000701AB" w:rsidP="00514E6B">
      <w:pPr>
        <w:pStyle w:val="a6"/>
        <w:ind w:firstLine="709"/>
        <w:rPr>
          <w:b/>
          <w:sz w:val="28"/>
          <w:szCs w:val="28"/>
        </w:rPr>
      </w:pPr>
    </w:p>
    <w:p w:rsidR="001E710C" w:rsidRPr="00AC1798" w:rsidRDefault="0054534C" w:rsidP="00514E6B">
      <w:pPr>
        <w:pStyle w:val="a6"/>
        <w:ind w:firstLine="709"/>
        <w:rPr>
          <w:sz w:val="28"/>
          <w:szCs w:val="28"/>
        </w:rPr>
      </w:pPr>
      <w:proofErr w:type="gramStart"/>
      <w:r w:rsidRPr="00AC1798">
        <w:rPr>
          <w:sz w:val="28"/>
          <w:szCs w:val="28"/>
        </w:rPr>
        <w:t>Р</w:t>
      </w:r>
      <w:r w:rsidR="001E710C" w:rsidRPr="00AC1798">
        <w:rPr>
          <w:sz w:val="28"/>
          <w:szCs w:val="28"/>
        </w:rPr>
        <w:t>ассмотрев представленный</w:t>
      </w:r>
      <w:r w:rsidR="0076061E" w:rsidRPr="00AC1798">
        <w:rPr>
          <w:sz w:val="28"/>
          <w:szCs w:val="28"/>
        </w:rPr>
        <w:t xml:space="preserve"> </w:t>
      </w:r>
      <w:r w:rsidR="00DE4EE0" w:rsidRPr="00AC1798">
        <w:rPr>
          <w:sz w:val="28"/>
          <w:szCs w:val="28"/>
        </w:rPr>
        <w:t xml:space="preserve">администрацией </w:t>
      </w:r>
      <w:r w:rsidR="001E710C" w:rsidRPr="00AC1798">
        <w:rPr>
          <w:sz w:val="28"/>
          <w:szCs w:val="28"/>
        </w:rPr>
        <w:t>городского округа Тольятти</w:t>
      </w:r>
      <w:r w:rsidR="00227408" w:rsidRPr="00AC1798">
        <w:rPr>
          <w:sz w:val="28"/>
          <w:szCs w:val="28"/>
        </w:rPr>
        <w:t xml:space="preserve"> в инициативном порядке </w:t>
      </w:r>
      <w:r w:rsidR="001E710C" w:rsidRPr="00AC1798">
        <w:rPr>
          <w:sz w:val="28"/>
          <w:szCs w:val="28"/>
        </w:rPr>
        <w:t>проект решения Думы городского округа Тольятти</w:t>
      </w:r>
      <w:r w:rsidR="00635862" w:rsidRPr="00AC1798">
        <w:rPr>
          <w:sz w:val="28"/>
          <w:szCs w:val="28"/>
        </w:rPr>
        <w:t xml:space="preserve"> «Об определении формы проведения торгов на право заключения договоров на установку и эксплуатацию рекламных конструкций и о порядках определения начального размера платы на право заключения договора на установку и эксплуатацию рекламных конструкций и размера платы по договорам на установку и эксплуатацию рекламных конструкций на земельных</w:t>
      </w:r>
      <w:proofErr w:type="gramEnd"/>
      <w:r w:rsidR="00635862" w:rsidRPr="00AC1798">
        <w:rPr>
          <w:sz w:val="28"/>
          <w:szCs w:val="28"/>
        </w:rPr>
        <w:t xml:space="preserve"> </w:t>
      </w:r>
      <w:proofErr w:type="gramStart"/>
      <w:r w:rsidR="00635862" w:rsidRPr="00AC1798">
        <w:rPr>
          <w:sz w:val="28"/>
          <w:szCs w:val="28"/>
        </w:rPr>
        <w:t>участках</w:t>
      </w:r>
      <w:proofErr w:type="gramEnd"/>
      <w:r w:rsidR="00635862" w:rsidRPr="00AC1798">
        <w:rPr>
          <w:sz w:val="28"/>
          <w:szCs w:val="28"/>
        </w:rPr>
        <w:t xml:space="preserve">, зданиях или ином имуществе, находящемся в собственности городского округа Тольятти» </w:t>
      </w:r>
      <w:r w:rsidR="00BE438C" w:rsidRPr="00AC1798">
        <w:rPr>
          <w:sz w:val="28"/>
          <w:szCs w:val="28"/>
        </w:rPr>
        <w:t>(далее – проект решения Думы)</w:t>
      </w:r>
      <w:r w:rsidR="00A27033" w:rsidRPr="00AC1798">
        <w:rPr>
          <w:sz w:val="28"/>
          <w:szCs w:val="28"/>
        </w:rPr>
        <w:t xml:space="preserve">, </w:t>
      </w:r>
      <w:r w:rsidR="001E710C" w:rsidRPr="00AC1798">
        <w:rPr>
          <w:sz w:val="28"/>
          <w:szCs w:val="28"/>
        </w:rPr>
        <w:t>необходимо отметить следующее.</w:t>
      </w:r>
    </w:p>
    <w:p w:rsidR="006A3CAA" w:rsidRPr="00AC1798" w:rsidRDefault="006A3CA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 xml:space="preserve">В соответствии с пунктом 3 части 1 статьи 16 Федерального закона от 06.10.2003 № 131–ФЗ «Об общих принципах организации местного самоуправления в Российской Федерации» и пунктом 3 части 1 статьи 7 Устава городского округа Тольятти </w:t>
      </w:r>
      <w:r w:rsidRPr="00AC1798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</w:p>
    <w:p w:rsidR="006A3CAA" w:rsidRPr="00AC1798" w:rsidRDefault="006A3CA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>При этом</w:t>
      </w:r>
      <w:proofErr w:type="gramStart"/>
      <w:r w:rsidRPr="00AC1798">
        <w:rPr>
          <w:sz w:val="28"/>
          <w:szCs w:val="28"/>
        </w:rPr>
        <w:t>,</w:t>
      </w:r>
      <w:proofErr w:type="gramEnd"/>
      <w:r w:rsidRPr="00AC1798">
        <w:rPr>
          <w:sz w:val="28"/>
          <w:szCs w:val="28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 </w:t>
      </w:r>
      <w:r w:rsidRPr="00AC1798">
        <w:rPr>
          <w:b/>
          <w:sz w:val="28"/>
          <w:szCs w:val="28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собственности.</w:t>
      </w:r>
    </w:p>
    <w:p w:rsidR="0074517B" w:rsidRPr="00AC1798" w:rsidRDefault="0074517B" w:rsidP="006A3CAA">
      <w:pPr>
        <w:pStyle w:val="a6"/>
        <w:ind w:firstLine="709"/>
        <w:rPr>
          <w:sz w:val="28"/>
          <w:szCs w:val="28"/>
        </w:rPr>
      </w:pPr>
      <w:proofErr w:type="gramStart"/>
      <w:r w:rsidRPr="00AC1798">
        <w:rPr>
          <w:sz w:val="28"/>
          <w:szCs w:val="28"/>
        </w:rPr>
        <w:t>Решением Думы городского округа Тольятти от 23.09.2015 № 800 утверждено Положение о порядке управления и распоряжения имуществом, находящимся в муниципальной собственности городского округа Тольятти</w:t>
      </w:r>
      <w:r w:rsidR="00C952E5" w:rsidRPr="00AC1798">
        <w:rPr>
          <w:sz w:val="28"/>
          <w:szCs w:val="28"/>
        </w:rPr>
        <w:t xml:space="preserve"> (далее – Положение о порядке управления и распоряжения имуществом)</w:t>
      </w:r>
      <w:r w:rsidR="005E1259" w:rsidRPr="00AC1798">
        <w:rPr>
          <w:sz w:val="28"/>
          <w:szCs w:val="28"/>
        </w:rPr>
        <w:t>, согласно подпункту 8 пункта 11 которого к полномочиям Думы, в том числе относится определение порядка управления и распоряжения муниципальным имуществом, а также определение порядка установления платы за использование муниципального</w:t>
      </w:r>
      <w:proofErr w:type="gramEnd"/>
      <w:r w:rsidR="005E1259" w:rsidRPr="00AC1798">
        <w:rPr>
          <w:sz w:val="28"/>
          <w:szCs w:val="28"/>
        </w:rPr>
        <w:t xml:space="preserve"> имущества.</w:t>
      </w:r>
    </w:p>
    <w:p w:rsidR="0074517B" w:rsidRPr="00AC1798" w:rsidRDefault="00AF709A" w:rsidP="006A3CAA">
      <w:pPr>
        <w:pStyle w:val="a6"/>
        <w:ind w:firstLine="709"/>
        <w:rPr>
          <w:b/>
          <w:sz w:val="28"/>
          <w:szCs w:val="28"/>
        </w:rPr>
      </w:pPr>
      <w:r w:rsidRPr="00AC1798">
        <w:rPr>
          <w:sz w:val="28"/>
          <w:szCs w:val="28"/>
        </w:rPr>
        <w:t xml:space="preserve">В соответствии с частью 5.1. статьи 19 Федерального закона от 13.03.2006 № 38-ФЗ «О рекламе» </w:t>
      </w:r>
      <w:r w:rsidRPr="00AC1798">
        <w:rPr>
          <w:b/>
          <w:sz w:val="28"/>
          <w:szCs w:val="28"/>
        </w:rPr>
        <w:t>форма проведения торгов (аукцион или конкурс) устанавливается органами государственной власти или представительными органами муниципальных образований.</w:t>
      </w:r>
      <w:r w:rsidRPr="00AC1798">
        <w:rPr>
          <w:sz w:val="28"/>
          <w:szCs w:val="28"/>
        </w:rPr>
        <w:t xml:space="preserve"> </w:t>
      </w:r>
    </w:p>
    <w:p w:rsidR="0074517B" w:rsidRPr="00AC1798" w:rsidRDefault="00AF709A" w:rsidP="00AF709A">
      <w:pPr>
        <w:pStyle w:val="a6"/>
        <w:ind w:firstLine="709"/>
        <w:rPr>
          <w:b/>
          <w:sz w:val="28"/>
          <w:szCs w:val="28"/>
        </w:rPr>
      </w:pPr>
      <w:proofErr w:type="gramStart"/>
      <w:r w:rsidRPr="00AC1798">
        <w:rPr>
          <w:b/>
          <w:sz w:val="28"/>
          <w:szCs w:val="28"/>
        </w:rPr>
        <w:t xml:space="preserve">С учетом изложенного, вопросы определения формы проведения торгов на право заключения договоров на установку и эксплуатацию </w:t>
      </w:r>
      <w:r w:rsidRPr="00AC1798">
        <w:rPr>
          <w:b/>
          <w:sz w:val="28"/>
          <w:szCs w:val="28"/>
        </w:rPr>
        <w:lastRenderedPageBreak/>
        <w:t>рекламных конструкций и утверждения порядка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относятся к компетенции Думы и могут быть рассмотрены на ее заседании.</w:t>
      </w:r>
      <w:proofErr w:type="gramEnd"/>
    </w:p>
    <w:p w:rsidR="00D12295" w:rsidRPr="00AC1798" w:rsidRDefault="00D12295" w:rsidP="00D122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 необходимо отметить следующее.</w:t>
      </w:r>
    </w:p>
    <w:p w:rsidR="00F70B98" w:rsidRPr="00AC1798" w:rsidRDefault="00D12295" w:rsidP="00F7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Согласно пояснительной записке к представленному проекту решения Думы, а</w:t>
      </w:r>
      <w:r w:rsidR="00D93B69" w:rsidRPr="00AC1798">
        <w:rPr>
          <w:rFonts w:ascii="Times New Roman" w:hAnsi="Times New Roman" w:cs="Times New Roman"/>
          <w:sz w:val="28"/>
          <w:szCs w:val="28"/>
        </w:rPr>
        <w:t>дминистрация городского округа</w:t>
      </w:r>
      <w:r w:rsidRPr="00AC1798">
        <w:rPr>
          <w:rFonts w:ascii="Times New Roman" w:hAnsi="Times New Roman" w:cs="Times New Roman"/>
          <w:sz w:val="28"/>
          <w:szCs w:val="28"/>
        </w:rPr>
        <w:t xml:space="preserve"> Тольятти </w:t>
      </w:r>
      <w:r w:rsidR="00D93B69" w:rsidRPr="00AC1798">
        <w:rPr>
          <w:rFonts w:ascii="Times New Roman" w:hAnsi="Times New Roman" w:cs="Times New Roman"/>
          <w:sz w:val="28"/>
          <w:szCs w:val="28"/>
        </w:rPr>
        <w:t>предлагает</w:t>
      </w:r>
      <w:r w:rsidR="00F70B98" w:rsidRPr="00AC1798">
        <w:rPr>
          <w:rFonts w:ascii="Times New Roman" w:hAnsi="Times New Roman" w:cs="Times New Roman"/>
          <w:sz w:val="28"/>
          <w:szCs w:val="28"/>
        </w:rPr>
        <w:t xml:space="preserve"> Думе установить форму проведения торгов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находящемся в государственной или муниципальной собственности, а также утвердить Порядок определения начального размера платы за право заключения договора на установку и эксплуатацию рекламных конструкций</w:t>
      </w:r>
      <w:proofErr w:type="gramEnd"/>
      <w:r w:rsidR="00F70B98" w:rsidRPr="00AC1798">
        <w:rPr>
          <w:rFonts w:ascii="Times New Roman" w:hAnsi="Times New Roman" w:cs="Times New Roman"/>
          <w:sz w:val="28"/>
          <w:szCs w:val="28"/>
        </w:rPr>
        <w:t xml:space="preserve"> на земельных участках, зданиях или ином имуществе, находящемся в собственности городского округа Тольятти, и Порядок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Тольятти.</w:t>
      </w:r>
    </w:p>
    <w:p w:rsidR="00742652" w:rsidRPr="00AC1798" w:rsidRDefault="00F70B9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При этом администрация</w:t>
      </w:r>
      <w:r w:rsidR="003E782A" w:rsidRPr="00AC1798">
        <w:rPr>
          <w:rFonts w:ascii="Times New Roman" w:hAnsi="Times New Roman" w:cs="Times New Roman"/>
          <w:sz w:val="28"/>
          <w:szCs w:val="28"/>
        </w:rPr>
        <w:t xml:space="preserve"> указывает, что </w:t>
      </w:r>
      <w:r w:rsidR="003E782A" w:rsidRPr="00AC1798">
        <w:rPr>
          <w:rFonts w:ascii="Times New Roman" w:hAnsi="Times New Roman" w:cs="Times New Roman"/>
          <w:i/>
          <w:sz w:val="28"/>
          <w:szCs w:val="28"/>
        </w:rPr>
        <w:t xml:space="preserve">принятие представленного проекта решения Думы </w:t>
      </w:r>
      <w:r w:rsidRPr="00AC1798">
        <w:rPr>
          <w:rFonts w:ascii="Times New Roman" w:hAnsi="Times New Roman" w:cs="Times New Roman"/>
          <w:i/>
          <w:sz w:val="28"/>
          <w:szCs w:val="28"/>
        </w:rPr>
        <w:t xml:space="preserve">позволит определять начальный размер платы </w:t>
      </w:r>
      <w:r w:rsidR="00571538" w:rsidRPr="00AC1798">
        <w:rPr>
          <w:rFonts w:ascii="Times New Roman" w:hAnsi="Times New Roman" w:cs="Times New Roman"/>
          <w:i/>
          <w:sz w:val="28"/>
          <w:szCs w:val="28"/>
        </w:rPr>
        <w:t xml:space="preserve">за </w:t>
      </w:r>
      <w:r w:rsidRPr="00AC1798">
        <w:rPr>
          <w:rFonts w:ascii="Times New Roman" w:hAnsi="Times New Roman" w:cs="Times New Roman"/>
          <w:i/>
          <w:sz w:val="28"/>
          <w:szCs w:val="28"/>
        </w:rPr>
        <w:t>право заключения договора на установку и эксплуатацию рекламных конструкций и размер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 с учетом всех факторов, существенно влияющих как на рынок в целом</w:t>
      </w:r>
      <w:proofErr w:type="gramEnd"/>
      <w:r w:rsidRPr="00AC1798">
        <w:rPr>
          <w:rFonts w:ascii="Times New Roman" w:hAnsi="Times New Roman" w:cs="Times New Roman"/>
          <w:i/>
          <w:sz w:val="28"/>
          <w:szCs w:val="28"/>
        </w:rPr>
        <w:t>, так и непосредственно на ценность рассматриваемого объекта, оценки экономических факторов, принципов экономической обоснованности.</w:t>
      </w:r>
    </w:p>
    <w:p w:rsidR="00F56929" w:rsidRPr="00AC1798" w:rsidRDefault="00F56929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i/>
          <w:sz w:val="28"/>
          <w:szCs w:val="28"/>
        </w:rPr>
        <w:t>Кроме того, принятие представленного проекта решения Думы позволит минимизировать риски наступления неблагоприятных последствий в случае оспаривания контрагентами нормативно - правовых актов, устанавливающих определение размера платы по договорам на установку и эксплуатацию рекламных конструкций и размера начальной цены аукциона на право заключения договора на установку и эксплуатацию рекламной конструкции на земельных участках, зданиях или ином имуществе, находящемся в собственности городского округа Тольятти.</w:t>
      </w:r>
      <w:proofErr w:type="gramEnd"/>
    </w:p>
    <w:p w:rsidR="00400886" w:rsidRPr="00AC1798" w:rsidRDefault="002F555F" w:rsidP="00D30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городского округа Тольятти действует Методика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утвержденная решением Думы городского округа Тольятти от 16.05.2012 </w:t>
      </w:r>
      <w:r w:rsidRPr="00AC1798">
        <w:rPr>
          <w:rFonts w:ascii="Times New Roman" w:hAnsi="Times New Roman" w:cs="Times New Roman"/>
          <w:sz w:val="28"/>
          <w:szCs w:val="28"/>
        </w:rPr>
        <w:br/>
        <w:t>№ 898</w:t>
      </w:r>
      <w:r w:rsidR="00D301A2" w:rsidRPr="00AC1798">
        <w:rPr>
          <w:rFonts w:ascii="Times New Roman" w:hAnsi="Times New Roman" w:cs="Times New Roman"/>
          <w:sz w:val="28"/>
          <w:szCs w:val="28"/>
        </w:rPr>
        <w:t xml:space="preserve"> (далее - Методика)</w:t>
      </w:r>
      <w:r w:rsidR="001828CF" w:rsidRPr="00AC1798">
        <w:rPr>
          <w:rFonts w:ascii="Times New Roman" w:hAnsi="Times New Roman" w:cs="Times New Roman"/>
          <w:sz w:val="28"/>
          <w:szCs w:val="28"/>
        </w:rPr>
        <w:t>, которая устанавливает порядок определения размера платы по договорам на установку и эксплуатацию рекламных конструкций</w:t>
      </w:r>
      <w:proofErr w:type="gramEnd"/>
      <w:r w:rsidR="001828CF" w:rsidRPr="00AC1798">
        <w:rPr>
          <w:rFonts w:ascii="Times New Roman" w:hAnsi="Times New Roman" w:cs="Times New Roman"/>
          <w:sz w:val="28"/>
          <w:szCs w:val="28"/>
        </w:rPr>
        <w:t xml:space="preserve"> на земельных участках, зданиях или ином имуществе, находящемся в собственности городского округа Тольятти</w:t>
      </w:r>
      <w:r w:rsidR="00400886" w:rsidRPr="00AC1798">
        <w:rPr>
          <w:rFonts w:ascii="Times New Roman" w:hAnsi="Times New Roman" w:cs="Times New Roman"/>
          <w:sz w:val="28"/>
          <w:szCs w:val="28"/>
        </w:rPr>
        <w:t xml:space="preserve">, при этом расчет размера платы по </w:t>
      </w:r>
      <w:r w:rsidR="00400886" w:rsidRPr="00AC1798">
        <w:rPr>
          <w:rFonts w:ascii="Times New Roman" w:hAnsi="Times New Roman" w:cs="Times New Roman"/>
          <w:sz w:val="28"/>
          <w:szCs w:val="28"/>
        </w:rPr>
        <w:lastRenderedPageBreak/>
        <w:t>договорам на установку и эксплуатацию рекламных конструкций осуществляется по соответствующей формуле</w:t>
      </w:r>
      <w:r w:rsidR="00D301A2" w:rsidRPr="00AC1798">
        <w:rPr>
          <w:rFonts w:ascii="Times New Roman" w:hAnsi="Times New Roman" w:cs="Times New Roman"/>
          <w:sz w:val="28"/>
          <w:szCs w:val="28"/>
        </w:rPr>
        <w:t>. Одной из составляющих величин формулы является R - базовая ставка за 1 кв. м в год в рублях, при этом в пункте 5 Методики установлено, что величина базовой ставки платы за установку и эксплуатацию рекламных конструкций на очередной год рассчитывается администрацией городского округа Тольятти.</w:t>
      </w:r>
    </w:p>
    <w:p w:rsidR="0010065F" w:rsidRPr="00AC1798" w:rsidRDefault="0010065F" w:rsidP="00D301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В представленном проекте решения Думы администрация городского округа </w:t>
      </w:r>
      <w:r w:rsidRPr="00AC1798">
        <w:rPr>
          <w:rFonts w:ascii="Times New Roman" w:hAnsi="Times New Roman" w:cs="Times New Roman"/>
          <w:b/>
          <w:sz w:val="28"/>
          <w:szCs w:val="28"/>
        </w:rPr>
        <w:t>предлагает установить начальный размер платы</w:t>
      </w:r>
      <w:r w:rsidRPr="00AC1798">
        <w:rPr>
          <w:rFonts w:ascii="Times New Roman" w:hAnsi="Times New Roman" w:cs="Times New Roman"/>
          <w:sz w:val="28"/>
          <w:szCs w:val="28"/>
        </w:rPr>
        <w:t xml:space="preserve"> за право заключения договора на установку и эксплуатацию рекламных конструкций на земельных участках, заданиях или ином имуществе, находящемся в собственности городского округа Тольятти, заключаемому по итогам аукциона, </w:t>
      </w:r>
      <w:r w:rsidRPr="00AC1798">
        <w:rPr>
          <w:rFonts w:ascii="Times New Roman" w:hAnsi="Times New Roman" w:cs="Times New Roman"/>
          <w:b/>
          <w:sz w:val="28"/>
          <w:szCs w:val="28"/>
        </w:rPr>
        <w:t>равным рыночной стоимости платы за право заключения договора на установку и эксплуатацию рекламных конструкций</w:t>
      </w:r>
      <w:r w:rsidRPr="00AC1798">
        <w:rPr>
          <w:rFonts w:ascii="Times New Roman" w:hAnsi="Times New Roman" w:cs="Times New Roman"/>
          <w:sz w:val="28"/>
          <w:szCs w:val="28"/>
        </w:rPr>
        <w:t xml:space="preserve"> в месте установки такого объекта согласно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схеме размещения рекламных конструкций на территории городского округа Тольятти, </w:t>
      </w:r>
      <w:r w:rsidRPr="00AC1798">
        <w:rPr>
          <w:rFonts w:ascii="Times New Roman" w:hAnsi="Times New Roman" w:cs="Times New Roman"/>
          <w:b/>
          <w:sz w:val="28"/>
          <w:szCs w:val="28"/>
        </w:rPr>
        <w:t>определяемой на основании отчета об оценке</w:t>
      </w:r>
      <w:r w:rsidRPr="00AC1798">
        <w:rPr>
          <w:rFonts w:ascii="Times New Roman" w:hAnsi="Times New Roman" w:cs="Times New Roman"/>
          <w:sz w:val="28"/>
          <w:szCs w:val="28"/>
        </w:rPr>
        <w:t>, составленного по результатам определения стоимости указанного объекта оценки в соответствии с законодательством, регулирующим оценочную деятельность в Российской Федерации.</w:t>
      </w:r>
    </w:p>
    <w:p w:rsidR="00C952E5" w:rsidRPr="00AC1798" w:rsidRDefault="004564AF" w:rsidP="00854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Следует отметить, что</w:t>
      </w:r>
      <w:r w:rsidR="00C952E5" w:rsidRPr="00AC1798">
        <w:rPr>
          <w:rFonts w:ascii="Times New Roman" w:hAnsi="Times New Roman" w:cs="Times New Roman"/>
          <w:sz w:val="28"/>
          <w:szCs w:val="28"/>
        </w:rPr>
        <w:t xml:space="preserve"> в соответствии с Уставом городского округа Тольятти и Положением о порядке управления и распоряжения имуществом, к полномочиям Думы городского округа Тольятти не относится принятие муниципального нормативного правового акта об установлении начального размера платы за право заключения договоров на установку и эксплуатацию рекламных конструкций</w:t>
      </w:r>
      <w:r w:rsidR="004F65F8" w:rsidRPr="00AC1798">
        <w:rPr>
          <w:rFonts w:ascii="Times New Roman" w:hAnsi="Times New Roman" w:cs="Times New Roman"/>
          <w:sz w:val="28"/>
          <w:szCs w:val="28"/>
        </w:rPr>
        <w:t>.</w:t>
      </w:r>
    </w:p>
    <w:p w:rsidR="002F555F" w:rsidRPr="00AC1798" w:rsidRDefault="00D301A2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b/>
          <w:sz w:val="28"/>
          <w:szCs w:val="28"/>
        </w:rPr>
        <w:t>Принимая во внимание изложенное,</w:t>
      </w:r>
      <w:r w:rsidR="0087525D" w:rsidRPr="00AC1798">
        <w:rPr>
          <w:rFonts w:ascii="Times New Roman" w:hAnsi="Times New Roman" w:cs="Times New Roman"/>
          <w:b/>
          <w:sz w:val="28"/>
          <w:szCs w:val="28"/>
        </w:rPr>
        <w:t xml:space="preserve"> а также действующее правовое регулирование</w:t>
      </w:r>
      <w:r w:rsidR="00F56929" w:rsidRPr="00AC1798">
        <w:rPr>
          <w:rFonts w:ascii="Times New Roman" w:hAnsi="Times New Roman" w:cs="Times New Roman"/>
          <w:b/>
          <w:sz w:val="28"/>
          <w:szCs w:val="28"/>
        </w:rPr>
        <w:t xml:space="preserve"> вопроса </w:t>
      </w:r>
      <w:r w:rsidR="0087525D" w:rsidRPr="00AC1798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B53E6D" w:rsidRPr="00AC1798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87525D" w:rsidRPr="00AC1798">
        <w:rPr>
          <w:rFonts w:ascii="Times New Roman" w:hAnsi="Times New Roman" w:cs="Times New Roman"/>
          <w:b/>
          <w:sz w:val="28"/>
          <w:szCs w:val="28"/>
        </w:rPr>
        <w:t>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</w:t>
      </w:r>
      <w:r w:rsidR="004F65F8" w:rsidRPr="00AC17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b/>
          <w:sz w:val="28"/>
          <w:szCs w:val="28"/>
        </w:rPr>
        <w:t>полномочи</w:t>
      </w:r>
      <w:r w:rsidR="004F65F8" w:rsidRPr="00AC1798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AC1798">
        <w:rPr>
          <w:rFonts w:ascii="Times New Roman" w:hAnsi="Times New Roman" w:cs="Times New Roman"/>
          <w:b/>
          <w:sz w:val="28"/>
          <w:szCs w:val="28"/>
        </w:rPr>
        <w:t xml:space="preserve">по определению начального размера платы </w:t>
      </w:r>
      <w:r w:rsidR="00717CB1" w:rsidRPr="00AC1798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AC1798">
        <w:rPr>
          <w:rFonts w:ascii="Times New Roman" w:hAnsi="Times New Roman" w:cs="Times New Roman"/>
          <w:b/>
          <w:sz w:val="28"/>
          <w:szCs w:val="28"/>
        </w:rPr>
        <w:t>право заключения договора на установку и эксплуатацию рекламных конструкций</w:t>
      </w:r>
      <w:r w:rsidR="004F65F8" w:rsidRPr="00AC1798">
        <w:rPr>
          <w:rFonts w:ascii="Times New Roman" w:hAnsi="Times New Roman" w:cs="Times New Roman"/>
          <w:b/>
          <w:sz w:val="28"/>
          <w:szCs w:val="28"/>
        </w:rPr>
        <w:t xml:space="preserve"> относятся к полномочиям </w:t>
      </w:r>
      <w:r w:rsidR="004F02AA" w:rsidRPr="00AC179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AC179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По представленному проекту решения Думы имеются следующие замечания и предложения: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1) Изложить название в следующей редакции: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C1798">
        <w:rPr>
          <w:rFonts w:ascii="Times New Roman" w:hAnsi="Times New Roman" w:cs="Times New Roman"/>
          <w:i/>
          <w:sz w:val="28"/>
          <w:szCs w:val="28"/>
        </w:rPr>
        <w:t>«Об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Тольятти»;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2) Дополнить пункт 1 вторым предложением в соответствии с частью 5.1. статьи 19 Федерального закона от 13.03.2006 № 38 – ФЗ «О рекламе» (дополнить последним предложением из указанной части статьи 19);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3) Исключить пункт 2 и Приложение 1;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4) В пункте 4: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lastRenderedPageBreak/>
        <w:t xml:space="preserve">- в абзаце первом слово </w:t>
      </w:r>
      <w:r w:rsidRPr="00AC1798">
        <w:rPr>
          <w:rFonts w:ascii="Times New Roman" w:hAnsi="Times New Roman" w:cs="Times New Roman"/>
          <w:i/>
          <w:sz w:val="28"/>
          <w:szCs w:val="28"/>
        </w:rPr>
        <w:t>«утратившим»</w:t>
      </w:r>
      <w:r w:rsidRPr="00AC1798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Pr="00AC1798">
        <w:rPr>
          <w:rFonts w:ascii="Times New Roman" w:hAnsi="Times New Roman" w:cs="Times New Roman"/>
          <w:i/>
          <w:sz w:val="28"/>
          <w:szCs w:val="28"/>
        </w:rPr>
        <w:t>«утратившими»</w:t>
      </w:r>
      <w:r w:rsidRPr="00AC1798">
        <w:rPr>
          <w:rFonts w:ascii="Times New Roman" w:hAnsi="Times New Roman" w:cs="Times New Roman"/>
          <w:sz w:val="28"/>
          <w:szCs w:val="28"/>
        </w:rPr>
        <w:t>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- изменить нумерацию подпунктов в соответствии с Правилами юридик</w:t>
      </w:r>
      <w:proofErr w:type="gramStart"/>
      <w:r w:rsidRPr="00AC179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технического оформления решений Думы городского округа Тольятти, утвержденными решением Думы городского округа Тольятти от 09.07.2014</w:t>
      </w:r>
      <w:r w:rsidR="00F56929" w:rsidRPr="00AC1798">
        <w:rPr>
          <w:rFonts w:ascii="Times New Roman" w:hAnsi="Times New Roman" w:cs="Times New Roman"/>
          <w:sz w:val="28"/>
          <w:szCs w:val="28"/>
        </w:rPr>
        <w:br/>
      </w:r>
      <w:r w:rsidRPr="00AC1798">
        <w:rPr>
          <w:rFonts w:ascii="Times New Roman" w:hAnsi="Times New Roman" w:cs="Times New Roman"/>
          <w:sz w:val="28"/>
          <w:szCs w:val="28"/>
        </w:rPr>
        <w:t>№ 380;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- исключить подпункты 3.8. – 3.10.;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- изменить нумерацию последующих пунктов;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5) В Приложении </w:t>
      </w:r>
      <w:r w:rsidR="00EA1B58" w:rsidRPr="00AC1798">
        <w:rPr>
          <w:rFonts w:ascii="Times New Roman" w:hAnsi="Times New Roman" w:cs="Times New Roman"/>
          <w:sz w:val="28"/>
          <w:szCs w:val="28"/>
        </w:rPr>
        <w:t>2</w:t>
      </w:r>
      <w:r w:rsidRPr="00AC179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- в пункте 2 слово </w:t>
      </w:r>
      <w:r w:rsidRPr="00AC1798">
        <w:rPr>
          <w:rFonts w:ascii="Times New Roman" w:hAnsi="Times New Roman" w:cs="Times New Roman"/>
          <w:i/>
          <w:sz w:val="28"/>
          <w:szCs w:val="28"/>
        </w:rPr>
        <w:t>«заключаемому»</w:t>
      </w:r>
      <w:r w:rsidRPr="00AC1798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Pr="00AC1798">
        <w:rPr>
          <w:rFonts w:ascii="Times New Roman" w:hAnsi="Times New Roman" w:cs="Times New Roman"/>
          <w:i/>
          <w:sz w:val="28"/>
          <w:szCs w:val="28"/>
        </w:rPr>
        <w:t>«заключаемым»</w:t>
      </w:r>
      <w:r w:rsidRPr="00AC1798">
        <w:rPr>
          <w:rFonts w:ascii="Times New Roman" w:hAnsi="Times New Roman" w:cs="Times New Roman"/>
          <w:sz w:val="28"/>
          <w:szCs w:val="28"/>
        </w:rPr>
        <w:t>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- в пункте 3 слова </w:t>
      </w:r>
      <w:r w:rsidRPr="00AC1798">
        <w:rPr>
          <w:rFonts w:ascii="Times New Roman" w:hAnsi="Times New Roman" w:cs="Times New Roman"/>
          <w:i/>
          <w:sz w:val="28"/>
          <w:szCs w:val="28"/>
        </w:rPr>
        <w:t>«уполномоченного органа администрацией»</w:t>
      </w:r>
      <w:r w:rsidRPr="00AC179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Pr="00AC1798">
        <w:rPr>
          <w:rFonts w:ascii="Times New Roman" w:hAnsi="Times New Roman" w:cs="Times New Roman"/>
          <w:i/>
          <w:sz w:val="28"/>
          <w:szCs w:val="28"/>
        </w:rPr>
        <w:t>«уполномоченного органа администрации»</w:t>
      </w:r>
      <w:r w:rsidRPr="00AC1798">
        <w:rPr>
          <w:rFonts w:ascii="Times New Roman" w:hAnsi="Times New Roman" w:cs="Times New Roman"/>
          <w:sz w:val="28"/>
          <w:szCs w:val="28"/>
        </w:rPr>
        <w:t>;</w:t>
      </w:r>
    </w:p>
    <w:p w:rsidR="00DF79A5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- в абзаце третьем пункта 4 слова </w:t>
      </w:r>
      <w:r w:rsidRPr="00AC1798">
        <w:rPr>
          <w:rFonts w:ascii="Times New Roman" w:hAnsi="Times New Roman" w:cs="Times New Roman"/>
          <w:i/>
          <w:sz w:val="28"/>
          <w:szCs w:val="28"/>
        </w:rPr>
        <w:t>«места размещения нестационарного торгового объекта»</w:t>
      </w:r>
      <w:r w:rsidRPr="00AC1798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Pr="00AC1798">
        <w:rPr>
          <w:rFonts w:ascii="Times New Roman" w:hAnsi="Times New Roman" w:cs="Times New Roman"/>
          <w:i/>
          <w:sz w:val="28"/>
          <w:szCs w:val="28"/>
        </w:rPr>
        <w:t>«места установки рекламной конструкции»</w:t>
      </w:r>
      <w:r w:rsidRPr="00AC1798">
        <w:rPr>
          <w:rFonts w:ascii="Times New Roman" w:hAnsi="Times New Roman" w:cs="Times New Roman"/>
          <w:sz w:val="28"/>
          <w:szCs w:val="28"/>
        </w:rPr>
        <w:t>;</w:t>
      </w:r>
    </w:p>
    <w:p w:rsidR="00742652" w:rsidRPr="00AC1798" w:rsidRDefault="00DF79A5" w:rsidP="00DF7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- целесообразно дополнить пунктом об объекте оценки.</w:t>
      </w:r>
    </w:p>
    <w:p w:rsidR="00B95927" w:rsidRPr="00AC1798" w:rsidRDefault="00B95927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>В сопроводительном письме к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514, сообщается, что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в отношении представленного проекта решения Думы </w:t>
      </w:r>
      <w:r w:rsidRPr="00AC1798">
        <w:rPr>
          <w:rFonts w:ascii="Times New Roman" w:hAnsi="Times New Roman" w:cs="Times New Roman"/>
          <w:b/>
          <w:sz w:val="28"/>
          <w:szCs w:val="28"/>
        </w:rPr>
        <w:t>проведен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AC1798">
        <w:rPr>
          <w:rFonts w:ascii="Times New Roman" w:hAnsi="Times New Roman" w:cs="Times New Roman"/>
          <w:b/>
          <w:sz w:val="28"/>
          <w:szCs w:val="28"/>
        </w:rPr>
        <w:t>оценк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AC1798">
        <w:rPr>
          <w:rFonts w:ascii="Times New Roman" w:hAnsi="Times New Roman" w:cs="Times New Roman"/>
          <w:b/>
          <w:sz w:val="28"/>
          <w:szCs w:val="28"/>
        </w:rPr>
        <w:t>регулирующего воздействия</w:t>
      </w:r>
      <w:r w:rsidR="00DF5AFB" w:rsidRPr="00AC1798">
        <w:rPr>
          <w:rFonts w:ascii="Times New Roman" w:hAnsi="Times New Roman" w:cs="Times New Roman"/>
          <w:b/>
          <w:sz w:val="28"/>
          <w:szCs w:val="28"/>
        </w:rPr>
        <w:t xml:space="preserve"> в период с 13.03.2024г. по 26.03.2024г.</w:t>
      </w:r>
    </w:p>
    <w:p w:rsidR="00B95927" w:rsidRPr="00AC1798" w:rsidRDefault="00B95927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Отметим, что в представленном заключении уполномоченного органа об оценке регулирующего воздействия указанного проекта решения Думы отмечается, что проект не содержит положений, вводящих избыточные обязанности, запреты, ограничения для субъектов предпринимательской и инвестиционной деятельности или способствующих их введению. В проекте отсутствуют положения, способствующие возникновению необоснованных расходов субъектов предпринимательской и инвестиционной деятельности и бюджета городского округа Тольятти.</w:t>
      </w:r>
    </w:p>
    <w:p w:rsidR="00DF5AFB" w:rsidRPr="00AC1798" w:rsidRDefault="00DF5AFB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Согласно пункту 4 свода предложений, полученных по результатам публичных консультаций по указанному проекту решения Думы, общее количество поступивших предложений: </w:t>
      </w:r>
      <w:r w:rsidRPr="00AC1798">
        <w:rPr>
          <w:rFonts w:ascii="Times New Roman" w:hAnsi="Times New Roman" w:cs="Times New Roman"/>
          <w:b/>
          <w:sz w:val="28"/>
          <w:szCs w:val="28"/>
        </w:rPr>
        <w:t>0</w:t>
      </w:r>
      <w:r w:rsidR="00EA1B58" w:rsidRPr="00AC179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A1B58" w:rsidRPr="00AC1798">
        <w:rPr>
          <w:rFonts w:ascii="Times New Roman" w:hAnsi="Times New Roman" w:cs="Times New Roman"/>
          <w:sz w:val="28"/>
          <w:szCs w:val="28"/>
        </w:rPr>
        <w:t xml:space="preserve">Однако </w:t>
      </w:r>
      <w:r w:rsidRPr="00AC1798">
        <w:rPr>
          <w:rFonts w:ascii="Times New Roman" w:hAnsi="Times New Roman" w:cs="Times New Roman"/>
          <w:sz w:val="28"/>
          <w:szCs w:val="28"/>
        </w:rPr>
        <w:t>следует отметить, что Дума</w:t>
      </w:r>
      <w:r w:rsidR="0073223C" w:rsidRPr="00AC1798">
        <w:rPr>
          <w:rFonts w:ascii="Times New Roman" w:hAnsi="Times New Roman" w:cs="Times New Roman"/>
          <w:sz w:val="28"/>
          <w:szCs w:val="28"/>
        </w:rPr>
        <w:t xml:space="preserve"> городского округа Тольятти </w:t>
      </w:r>
      <w:r w:rsidRPr="00AC1798">
        <w:rPr>
          <w:rFonts w:ascii="Times New Roman" w:hAnsi="Times New Roman" w:cs="Times New Roman"/>
          <w:sz w:val="28"/>
          <w:szCs w:val="28"/>
        </w:rPr>
        <w:t>участвовала в публичных консультациях по указанному проекту решения Думы</w:t>
      </w:r>
      <w:r w:rsidR="0073223C" w:rsidRPr="00AC1798">
        <w:rPr>
          <w:rFonts w:ascii="Times New Roman" w:hAnsi="Times New Roman" w:cs="Times New Roman"/>
          <w:sz w:val="28"/>
          <w:szCs w:val="28"/>
        </w:rPr>
        <w:t xml:space="preserve"> и направляла соответствующие предложения в администрацию городского округа в установленном порядке (электронное письмо от 22.03.2024г.)</w:t>
      </w:r>
      <w:r w:rsidR="00742652" w:rsidRPr="00AC1798">
        <w:rPr>
          <w:rFonts w:ascii="Times New Roman" w:hAnsi="Times New Roman" w:cs="Times New Roman"/>
          <w:sz w:val="28"/>
          <w:szCs w:val="28"/>
        </w:rPr>
        <w:t>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Согласно части 1 статьи 87 Регламента Думы, утвержденного решением Думы городского округа от 18.10.2018</w:t>
      </w:r>
      <w:r w:rsidR="00CB1CC9" w:rsidRPr="00AC1798">
        <w:rPr>
          <w:rFonts w:ascii="Times New Roman" w:hAnsi="Times New Roman" w:cs="Times New Roman"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sz w:val="28"/>
          <w:szCs w:val="28"/>
        </w:rPr>
        <w:t>№ 3 (далее – Регламент</w:t>
      </w:r>
      <w:r w:rsidR="004037ED" w:rsidRPr="00AC1798">
        <w:rPr>
          <w:rFonts w:ascii="Times New Roman" w:hAnsi="Times New Roman" w:cs="Times New Roman"/>
          <w:sz w:val="28"/>
          <w:szCs w:val="28"/>
        </w:rPr>
        <w:t xml:space="preserve"> Думы</w:t>
      </w:r>
      <w:r w:rsidRPr="00AC1798">
        <w:rPr>
          <w:rFonts w:ascii="Times New Roman" w:hAnsi="Times New Roman" w:cs="Times New Roman"/>
          <w:sz w:val="28"/>
          <w:szCs w:val="28"/>
        </w:rPr>
        <w:t xml:space="preserve">), пакет документов, вносимый на рассмотрение Думы в порядке, установленном </w:t>
      </w:r>
      <w:r w:rsidRPr="00AC1798">
        <w:rPr>
          <w:rFonts w:ascii="Times New Roman" w:hAnsi="Times New Roman" w:cs="Times New Roman"/>
          <w:sz w:val="28"/>
          <w:szCs w:val="28"/>
        </w:rPr>
        <w:lastRenderedPageBreak/>
        <w:t>Регламентом, должен соответствовать требованиям Положения о порядке внесения МПА.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1798">
        <w:rPr>
          <w:rFonts w:ascii="Times New Roman" w:hAnsi="Times New Roman" w:cs="Times New Roman"/>
          <w:sz w:val="28"/>
          <w:szCs w:val="28"/>
        </w:rPr>
        <w:t xml:space="preserve"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</w:t>
      </w:r>
      <w:r w:rsidR="00500B20" w:rsidRPr="00AC1798">
        <w:rPr>
          <w:rFonts w:ascii="Times New Roman" w:hAnsi="Times New Roman" w:cs="Times New Roman"/>
          <w:sz w:val="28"/>
          <w:szCs w:val="28"/>
        </w:rPr>
        <w:t>с</w:t>
      </w:r>
      <w:r w:rsidRPr="00AC1798">
        <w:rPr>
          <w:rFonts w:ascii="Times New Roman" w:hAnsi="Times New Roman" w:cs="Times New Roman"/>
          <w:sz w:val="28"/>
          <w:szCs w:val="28"/>
        </w:rPr>
        <w:t xml:space="preserve">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 xml:space="preserve">Согласно части 3 статьи 4 Положения о порядке внесения МПА проект решения вносится в Думу не </w:t>
      </w:r>
      <w:proofErr w:type="gramStart"/>
      <w:r w:rsidRPr="00AC179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C1798">
        <w:rPr>
          <w:rFonts w:ascii="Times New Roman" w:hAnsi="Times New Roman" w:cs="Times New Roman"/>
          <w:sz w:val="28"/>
          <w:szCs w:val="28"/>
        </w:rPr>
        <w:t xml:space="preserve"> чем за 20 дней до дня заседания Думы, на котором запланировано его рассмотрение, либо до дня заседания Думы, на котором инициатором предлагается рассмотреть данный проект решения.</w:t>
      </w:r>
      <w:r w:rsidR="00B95927" w:rsidRPr="00AC1798">
        <w:rPr>
          <w:rFonts w:ascii="Times New Roman" w:hAnsi="Times New Roman" w:cs="Times New Roman"/>
          <w:sz w:val="28"/>
          <w:szCs w:val="28"/>
        </w:rPr>
        <w:t xml:space="preserve"> Представленный проект решения Думы поступил в Думу </w:t>
      </w:r>
      <w:r w:rsidR="00B95927" w:rsidRPr="00AC1798">
        <w:rPr>
          <w:rFonts w:ascii="Times New Roman" w:hAnsi="Times New Roman" w:cs="Times New Roman"/>
          <w:b/>
          <w:sz w:val="28"/>
          <w:szCs w:val="28"/>
        </w:rPr>
        <w:t>18.04.2024г.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="00303C56" w:rsidRPr="00AC1798">
        <w:rPr>
          <w:rFonts w:ascii="Times New Roman" w:hAnsi="Times New Roman" w:cs="Times New Roman"/>
          <w:sz w:val="28"/>
          <w:szCs w:val="28"/>
        </w:rPr>
        <w:t xml:space="preserve"> </w:t>
      </w:r>
      <w:r w:rsidRPr="00AC1798">
        <w:rPr>
          <w:rFonts w:ascii="Times New Roman" w:hAnsi="Times New Roman" w:cs="Times New Roman"/>
          <w:sz w:val="28"/>
          <w:szCs w:val="28"/>
        </w:rPr>
        <w:t xml:space="preserve">проекта нормативного правового акта проведена, </w:t>
      </w:r>
      <w:proofErr w:type="spellStart"/>
      <w:r w:rsidRPr="00AC1798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AC1798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98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B568C5" w:rsidRPr="00AC1798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1798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</w:t>
      </w:r>
      <w:r w:rsidR="00EA1B58" w:rsidRPr="00AC1798">
        <w:rPr>
          <w:rFonts w:ascii="Times New Roman" w:hAnsi="Times New Roman" w:cs="Times New Roman"/>
          <w:b/>
          <w:sz w:val="28"/>
          <w:szCs w:val="28"/>
        </w:rPr>
        <w:t xml:space="preserve"> после доработки </w:t>
      </w:r>
      <w:r w:rsidR="00635862" w:rsidRPr="00AC1798">
        <w:rPr>
          <w:rFonts w:ascii="Times New Roman" w:hAnsi="Times New Roman" w:cs="Times New Roman"/>
          <w:b/>
          <w:sz w:val="28"/>
          <w:szCs w:val="28"/>
        </w:rPr>
        <w:t>с учетом настоящего заключения</w:t>
      </w:r>
      <w:r w:rsidRPr="00AC1798">
        <w:rPr>
          <w:rFonts w:ascii="Times New Roman" w:hAnsi="Times New Roman" w:cs="Times New Roman"/>
          <w:b/>
          <w:sz w:val="28"/>
          <w:szCs w:val="28"/>
        </w:rPr>
        <w:t>.</w:t>
      </w:r>
    </w:p>
    <w:p w:rsidR="00AA55C7" w:rsidRPr="00AC1798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AA55C7" w:rsidRPr="00AC1798" w:rsidRDefault="00AA55C7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6C7A1A" w:rsidRPr="00AC1798" w:rsidRDefault="00F76FF6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AC1798">
        <w:rPr>
          <w:rFonts w:ascii="Times New Roman" w:hAnsi="Times New Roman"/>
          <w:b/>
          <w:bCs/>
          <w:sz w:val="28"/>
          <w:szCs w:val="28"/>
        </w:rPr>
        <w:t>Начальник</w:t>
      </w:r>
    </w:p>
    <w:p w:rsidR="001E710C" w:rsidRPr="00AC1798" w:rsidRDefault="001E710C" w:rsidP="006657D6">
      <w:pPr>
        <w:shd w:val="clear" w:color="auto" w:fill="FFFFFF"/>
        <w:tabs>
          <w:tab w:val="left" w:pos="775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C1798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AC1798">
        <w:rPr>
          <w:rFonts w:ascii="Times New Roman" w:hAnsi="Times New Roman"/>
          <w:b/>
          <w:bCs/>
          <w:sz w:val="28"/>
          <w:szCs w:val="28"/>
        </w:rPr>
        <w:t>отдела                                                                       Е</w:t>
      </w:r>
      <w:r w:rsidR="008D0948" w:rsidRPr="00AC1798">
        <w:rPr>
          <w:rFonts w:ascii="Times New Roman" w:hAnsi="Times New Roman"/>
          <w:b/>
          <w:bCs/>
          <w:sz w:val="28"/>
          <w:szCs w:val="28"/>
        </w:rPr>
        <w:t xml:space="preserve">.В. </w:t>
      </w:r>
      <w:r w:rsidR="00F76FF6" w:rsidRPr="00AC1798">
        <w:rPr>
          <w:rFonts w:ascii="Times New Roman" w:hAnsi="Times New Roman"/>
          <w:b/>
          <w:bCs/>
          <w:sz w:val="28"/>
          <w:szCs w:val="28"/>
        </w:rPr>
        <w:t>Смирнова</w:t>
      </w:r>
    </w:p>
    <w:p w:rsidR="00146595" w:rsidRPr="00AC1798" w:rsidRDefault="00146595" w:rsidP="00514E6B">
      <w:pPr>
        <w:pStyle w:val="aa"/>
        <w:ind w:left="142" w:firstLine="142"/>
        <w:jc w:val="left"/>
        <w:rPr>
          <w:b w:val="0"/>
          <w:sz w:val="28"/>
          <w:szCs w:val="28"/>
        </w:rPr>
      </w:pPr>
    </w:p>
    <w:p w:rsidR="001B17EB" w:rsidRPr="00AC1798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1B17EB" w:rsidRPr="00AC1798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1B17EB" w:rsidRDefault="001B17EB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AC1798" w:rsidRDefault="00AC1798" w:rsidP="00514E6B">
      <w:pPr>
        <w:pStyle w:val="aa"/>
        <w:jc w:val="left"/>
        <w:rPr>
          <w:b w:val="0"/>
          <w:sz w:val="28"/>
          <w:szCs w:val="28"/>
        </w:rPr>
      </w:pPr>
    </w:p>
    <w:p w:rsidR="00EB664B" w:rsidRPr="00AC1798" w:rsidRDefault="00EB664B" w:rsidP="00514E6B">
      <w:pPr>
        <w:pStyle w:val="aa"/>
        <w:jc w:val="left"/>
        <w:rPr>
          <w:b w:val="0"/>
          <w:sz w:val="28"/>
          <w:szCs w:val="28"/>
        </w:rPr>
      </w:pPr>
    </w:p>
    <w:p w:rsidR="00521065" w:rsidRPr="00AC1798" w:rsidRDefault="001B17EB" w:rsidP="00514E6B">
      <w:pPr>
        <w:pStyle w:val="aa"/>
        <w:jc w:val="left"/>
        <w:rPr>
          <w:b w:val="0"/>
          <w:szCs w:val="24"/>
        </w:rPr>
      </w:pPr>
      <w:proofErr w:type="spellStart"/>
      <w:r w:rsidRPr="00AC1798">
        <w:rPr>
          <w:b w:val="0"/>
          <w:szCs w:val="24"/>
        </w:rPr>
        <w:t>К</w:t>
      </w:r>
      <w:r w:rsidR="00FE0755" w:rsidRPr="00AC1798">
        <w:rPr>
          <w:b w:val="0"/>
          <w:szCs w:val="24"/>
        </w:rPr>
        <w:t>оробкова</w:t>
      </w:r>
      <w:proofErr w:type="spellEnd"/>
      <w:r w:rsidR="004E23E2" w:rsidRPr="00AC1798">
        <w:rPr>
          <w:b w:val="0"/>
          <w:szCs w:val="24"/>
        </w:rPr>
        <w:t xml:space="preserve"> Е.В.</w:t>
      </w:r>
      <w:r w:rsidR="008D0948" w:rsidRPr="00AC1798">
        <w:rPr>
          <w:b w:val="0"/>
          <w:szCs w:val="24"/>
        </w:rPr>
        <w:t xml:space="preserve"> </w:t>
      </w:r>
    </w:p>
    <w:p w:rsidR="003C060C" w:rsidRPr="00AC1798" w:rsidRDefault="003C060C" w:rsidP="00514E6B">
      <w:pPr>
        <w:pStyle w:val="aa"/>
        <w:jc w:val="left"/>
        <w:rPr>
          <w:szCs w:val="24"/>
        </w:rPr>
      </w:pPr>
      <w:r w:rsidRPr="00AC1798">
        <w:rPr>
          <w:b w:val="0"/>
          <w:szCs w:val="24"/>
        </w:rPr>
        <w:t>28</w:t>
      </w:r>
      <w:r w:rsidR="00FE0755" w:rsidRPr="00AC1798">
        <w:rPr>
          <w:b w:val="0"/>
          <w:szCs w:val="24"/>
        </w:rPr>
        <w:t>-</w:t>
      </w:r>
      <w:r w:rsidR="006C7A1A" w:rsidRPr="00AC1798">
        <w:rPr>
          <w:b w:val="0"/>
          <w:szCs w:val="24"/>
        </w:rPr>
        <w:t>35</w:t>
      </w:r>
      <w:r w:rsidR="00FE0755" w:rsidRPr="00AC1798">
        <w:rPr>
          <w:b w:val="0"/>
          <w:szCs w:val="24"/>
        </w:rPr>
        <w:t>-</w:t>
      </w:r>
      <w:r w:rsidR="006C7A1A" w:rsidRPr="00AC1798">
        <w:rPr>
          <w:b w:val="0"/>
          <w:szCs w:val="24"/>
        </w:rPr>
        <w:t>03</w:t>
      </w:r>
    </w:p>
    <w:sectPr w:rsidR="003C060C" w:rsidRPr="00AC1798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4A7" w:rsidRDefault="006574A7" w:rsidP="00C72CF4">
      <w:pPr>
        <w:spacing w:after="0" w:line="240" w:lineRule="auto"/>
      </w:pPr>
      <w:r>
        <w:separator/>
      </w:r>
    </w:p>
  </w:endnote>
  <w:endnote w:type="continuationSeparator" w:id="0">
    <w:p w:rsidR="006574A7" w:rsidRDefault="006574A7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B58" w:rsidRDefault="00EA1B58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A1B58" w:rsidRDefault="00EA1B5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4A7" w:rsidRDefault="006574A7" w:rsidP="00C72CF4">
      <w:pPr>
        <w:spacing w:after="0" w:line="240" w:lineRule="auto"/>
      </w:pPr>
      <w:r>
        <w:separator/>
      </w:r>
    </w:p>
  </w:footnote>
  <w:footnote w:type="continuationSeparator" w:id="0">
    <w:p w:rsidR="006574A7" w:rsidRDefault="006574A7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EA1B58" w:rsidRDefault="00EA1B58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43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A1B58" w:rsidRDefault="00EA1B5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05F2"/>
    <w:rsid w:val="00002546"/>
    <w:rsid w:val="00033437"/>
    <w:rsid w:val="00033DA3"/>
    <w:rsid w:val="00036878"/>
    <w:rsid w:val="00036F5B"/>
    <w:rsid w:val="000458AF"/>
    <w:rsid w:val="000469AC"/>
    <w:rsid w:val="000520DA"/>
    <w:rsid w:val="00052209"/>
    <w:rsid w:val="00052213"/>
    <w:rsid w:val="00052777"/>
    <w:rsid w:val="0005328B"/>
    <w:rsid w:val="000541CF"/>
    <w:rsid w:val="00062EF3"/>
    <w:rsid w:val="00064898"/>
    <w:rsid w:val="000701AB"/>
    <w:rsid w:val="00075610"/>
    <w:rsid w:val="00082225"/>
    <w:rsid w:val="00086EC9"/>
    <w:rsid w:val="000A160C"/>
    <w:rsid w:val="000B321D"/>
    <w:rsid w:val="000B417E"/>
    <w:rsid w:val="000B7646"/>
    <w:rsid w:val="000C1189"/>
    <w:rsid w:val="000C3CBE"/>
    <w:rsid w:val="000D2975"/>
    <w:rsid w:val="000F25CE"/>
    <w:rsid w:val="00100606"/>
    <w:rsid w:val="0010065F"/>
    <w:rsid w:val="00104E52"/>
    <w:rsid w:val="0011496C"/>
    <w:rsid w:val="00115670"/>
    <w:rsid w:val="0011704B"/>
    <w:rsid w:val="001247F0"/>
    <w:rsid w:val="0013029D"/>
    <w:rsid w:val="00135BF3"/>
    <w:rsid w:val="001463EC"/>
    <w:rsid w:val="00146595"/>
    <w:rsid w:val="00153E63"/>
    <w:rsid w:val="0016016E"/>
    <w:rsid w:val="001635DA"/>
    <w:rsid w:val="00167836"/>
    <w:rsid w:val="001718AF"/>
    <w:rsid w:val="00171FE5"/>
    <w:rsid w:val="0017513E"/>
    <w:rsid w:val="001828CF"/>
    <w:rsid w:val="001857D9"/>
    <w:rsid w:val="00190BD8"/>
    <w:rsid w:val="00195F7D"/>
    <w:rsid w:val="001A0F5F"/>
    <w:rsid w:val="001A1B6A"/>
    <w:rsid w:val="001A577A"/>
    <w:rsid w:val="001A69DD"/>
    <w:rsid w:val="001B11D5"/>
    <w:rsid w:val="001B17EB"/>
    <w:rsid w:val="001B3FDE"/>
    <w:rsid w:val="001C0985"/>
    <w:rsid w:val="001C1339"/>
    <w:rsid w:val="001C3E0F"/>
    <w:rsid w:val="001C751F"/>
    <w:rsid w:val="001D1C77"/>
    <w:rsid w:val="001D3284"/>
    <w:rsid w:val="001E6B1A"/>
    <w:rsid w:val="001E710C"/>
    <w:rsid w:val="001E79B1"/>
    <w:rsid w:val="001E7AB2"/>
    <w:rsid w:val="001F67F3"/>
    <w:rsid w:val="002051D6"/>
    <w:rsid w:val="00206246"/>
    <w:rsid w:val="00207856"/>
    <w:rsid w:val="00213C89"/>
    <w:rsid w:val="00217FAA"/>
    <w:rsid w:val="00227408"/>
    <w:rsid w:val="0023031F"/>
    <w:rsid w:val="0023308E"/>
    <w:rsid w:val="00235C0E"/>
    <w:rsid w:val="002375D2"/>
    <w:rsid w:val="002417DF"/>
    <w:rsid w:val="00241904"/>
    <w:rsid w:val="00241A0A"/>
    <w:rsid w:val="002436B5"/>
    <w:rsid w:val="002478ED"/>
    <w:rsid w:val="00253302"/>
    <w:rsid w:val="0025721C"/>
    <w:rsid w:val="002604C4"/>
    <w:rsid w:val="00264E69"/>
    <w:rsid w:val="00270831"/>
    <w:rsid w:val="00270D19"/>
    <w:rsid w:val="002717E4"/>
    <w:rsid w:val="00273E93"/>
    <w:rsid w:val="0027564E"/>
    <w:rsid w:val="0028331E"/>
    <w:rsid w:val="002838B2"/>
    <w:rsid w:val="00285A1F"/>
    <w:rsid w:val="00290C9C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4E68"/>
    <w:rsid w:val="002C728D"/>
    <w:rsid w:val="002D4397"/>
    <w:rsid w:val="002E32FB"/>
    <w:rsid w:val="002E7096"/>
    <w:rsid w:val="002E70A8"/>
    <w:rsid w:val="002F2654"/>
    <w:rsid w:val="002F39F3"/>
    <w:rsid w:val="002F555F"/>
    <w:rsid w:val="002F6C7C"/>
    <w:rsid w:val="002F6E41"/>
    <w:rsid w:val="003021F9"/>
    <w:rsid w:val="00303C56"/>
    <w:rsid w:val="00304D49"/>
    <w:rsid w:val="003101D2"/>
    <w:rsid w:val="003269F1"/>
    <w:rsid w:val="003320E8"/>
    <w:rsid w:val="00333299"/>
    <w:rsid w:val="00335592"/>
    <w:rsid w:val="0035483A"/>
    <w:rsid w:val="00356815"/>
    <w:rsid w:val="0035741C"/>
    <w:rsid w:val="003600F1"/>
    <w:rsid w:val="00373966"/>
    <w:rsid w:val="00381A94"/>
    <w:rsid w:val="00390B2D"/>
    <w:rsid w:val="003A2830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D2F2C"/>
    <w:rsid w:val="003D65B6"/>
    <w:rsid w:val="003E5A6F"/>
    <w:rsid w:val="003E6347"/>
    <w:rsid w:val="003E7012"/>
    <w:rsid w:val="003E782A"/>
    <w:rsid w:val="003F3ED3"/>
    <w:rsid w:val="003F7994"/>
    <w:rsid w:val="003F7B15"/>
    <w:rsid w:val="003F7CE2"/>
    <w:rsid w:val="00400886"/>
    <w:rsid w:val="004037ED"/>
    <w:rsid w:val="00404598"/>
    <w:rsid w:val="004072AE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4678A"/>
    <w:rsid w:val="00450E11"/>
    <w:rsid w:val="0045116A"/>
    <w:rsid w:val="004564AF"/>
    <w:rsid w:val="004570A4"/>
    <w:rsid w:val="00462A8B"/>
    <w:rsid w:val="00464395"/>
    <w:rsid w:val="00465A3F"/>
    <w:rsid w:val="0047598C"/>
    <w:rsid w:val="00481BF4"/>
    <w:rsid w:val="00484C67"/>
    <w:rsid w:val="00485763"/>
    <w:rsid w:val="004A27A3"/>
    <w:rsid w:val="004B43A2"/>
    <w:rsid w:val="004B5EE0"/>
    <w:rsid w:val="004B6EDF"/>
    <w:rsid w:val="004C0DA2"/>
    <w:rsid w:val="004C52B1"/>
    <w:rsid w:val="004C588C"/>
    <w:rsid w:val="004C7F31"/>
    <w:rsid w:val="004D4A2F"/>
    <w:rsid w:val="004D5939"/>
    <w:rsid w:val="004D70AA"/>
    <w:rsid w:val="004E0363"/>
    <w:rsid w:val="004E2233"/>
    <w:rsid w:val="004E23E2"/>
    <w:rsid w:val="004E3250"/>
    <w:rsid w:val="004E45E1"/>
    <w:rsid w:val="004F0141"/>
    <w:rsid w:val="004F02AA"/>
    <w:rsid w:val="004F65F8"/>
    <w:rsid w:val="00500B20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38"/>
    <w:rsid w:val="0057159B"/>
    <w:rsid w:val="00573C31"/>
    <w:rsid w:val="005742D9"/>
    <w:rsid w:val="00574852"/>
    <w:rsid w:val="00581366"/>
    <w:rsid w:val="00586AA8"/>
    <w:rsid w:val="00595E68"/>
    <w:rsid w:val="00597E3A"/>
    <w:rsid w:val="005A5CCF"/>
    <w:rsid w:val="005D1E2B"/>
    <w:rsid w:val="005D1EFD"/>
    <w:rsid w:val="005D2903"/>
    <w:rsid w:val="005E07DE"/>
    <w:rsid w:val="005E1259"/>
    <w:rsid w:val="005F4BFF"/>
    <w:rsid w:val="0060549F"/>
    <w:rsid w:val="006068ED"/>
    <w:rsid w:val="00610392"/>
    <w:rsid w:val="00613DC2"/>
    <w:rsid w:val="0061484C"/>
    <w:rsid w:val="00614896"/>
    <w:rsid w:val="0061489C"/>
    <w:rsid w:val="006162D4"/>
    <w:rsid w:val="00621C5B"/>
    <w:rsid w:val="00621CCF"/>
    <w:rsid w:val="006275F2"/>
    <w:rsid w:val="00633218"/>
    <w:rsid w:val="006345B7"/>
    <w:rsid w:val="00635862"/>
    <w:rsid w:val="0064457D"/>
    <w:rsid w:val="006456B5"/>
    <w:rsid w:val="0065554A"/>
    <w:rsid w:val="00655740"/>
    <w:rsid w:val="00656E85"/>
    <w:rsid w:val="0065712C"/>
    <w:rsid w:val="006574A7"/>
    <w:rsid w:val="0066354F"/>
    <w:rsid w:val="0066477B"/>
    <w:rsid w:val="006657D6"/>
    <w:rsid w:val="00671FAC"/>
    <w:rsid w:val="00680DFA"/>
    <w:rsid w:val="0068224B"/>
    <w:rsid w:val="006A359C"/>
    <w:rsid w:val="006A37B2"/>
    <w:rsid w:val="006A3CAA"/>
    <w:rsid w:val="006A5E9F"/>
    <w:rsid w:val="006B07EE"/>
    <w:rsid w:val="006B1370"/>
    <w:rsid w:val="006B145A"/>
    <w:rsid w:val="006B20F4"/>
    <w:rsid w:val="006B4436"/>
    <w:rsid w:val="006B5EE9"/>
    <w:rsid w:val="006C1CBF"/>
    <w:rsid w:val="006C7577"/>
    <w:rsid w:val="006C7A1A"/>
    <w:rsid w:val="006E0F22"/>
    <w:rsid w:val="006E141E"/>
    <w:rsid w:val="006E1D40"/>
    <w:rsid w:val="006E27AD"/>
    <w:rsid w:val="006E433D"/>
    <w:rsid w:val="006F2C76"/>
    <w:rsid w:val="006F3FF3"/>
    <w:rsid w:val="006F574C"/>
    <w:rsid w:val="007007C6"/>
    <w:rsid w:val="007017A0"/>
    <w:rsid w:val="00705FD8"/>
    <w:rsid w:val="00706032"/>
    <w:rsid w:val="00706581"/>
    <w:rsid w:val="00707135"/>
    <w:rsid w:val="00710D24"/>
    <w:rsid w:val="007113A8"/>
    <w:rsid w:val="00717CB1"/>
    <w:rsid w:val="00721FEC"/>
    <w:rsid w:val="007245A5"/>
    <w:rsid w:val="00725E60"/>
    <w:rsid w:val="00726518"/>
    <w:rsid w:val="0073223C"/>
    <w:rsid w:val="00732E11"/>
    <w:rsid w:val="00733B5B"/>
    <w:rsid w:val="007360A3"/>
    <w:rsid w:val="0074099F"/>
    <w:rsid w:val="00742652"/>
    <w:rsid w:val="00742682"/>
    <w:rsid w:val="00742A9E"/>
    <w:rsid w:val="007449B8"/>
    <w:rsid w:val="0074517B"/>
    <w:rsid w:val="0074538E"/>
    <w:rsid w:val="00753144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9082A"/>
    <w:rsid w:val="00795E44"/>
    <w:rsid w:val="007962AE"/>
    <w:rsid w:val="007B09E8"/>
    <w:rsid w:val="007B0CE1"/>
    <w:rsid w:val="007B0DC0"/>
    <w:rsid w:val="007B2F07"/>
    <w:rsid w:val="007D0ED2"/>
    <w:rsid w:val="007D4838"/>
    <w:rsid w:val="007D4A4A"/>
    <w:rsid w:val="007D4FF0"/>
    <w:rsid w:val="007D7847"/>
    <w:rsid w:val="007E057E"/>
    <w:rsid w:val="007E2154"/>
    <w:rsid w:val="007E3A65"/>
    <w:rsid w:val="007E528D"/>
    <w:rsid w:val="007E742D"/>
    <w:rsid w:val="007F0DCF"/>
    <w:rsid w:val="0080342A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12C"/>
    <w:rsid w:val="0084563A"/>
    <w:rsid w:val="0085041E"/>
    <w:rsid w:val="008545CF"/>
    <w:rsid w:val="00854708"/>
    <w:rsid w:val="0085478C"/>
    <w:rsid w:val="008658E8"/>
    <w:rsid w:val="00866658"/>
    <w:rsid w:val="00867865"/>
    <w:rsid w:val="0087382B"/>
    <w:rsid w:val="0087525D"/>
    <w:rsid w:val="0089322B"/>
    <w:rsid w:val="0089629B"/>
    <w:rsid w:val="008978A2"/>
    <w:rsid w:val="008A2474"/>
    <w:rsid w:val="008A3B9F"/>
    <w:rsid w:val="008A7A55"/>
    <w:rsid w:val="008C0C2D"/>
    <w:rsid w:val="008C5A9C"/>
    <w:rsid w:val="008D0948"/>
    <w:rsid w:val="008D39C5"/>
    <w:rsid w:val="008D6C19"/>
    <w:rsid w:val="008F5A0C"/>
    <w:rsid w:val="00900EF2"/>
    <w:rsid w:val="009034CC"/>
    <w:rsid w:val="00910047"/>
    <w:rsid w:val="0091038E"/>
    <w:rsid w:val="009118E7"/>
    <w:rsid w:val="0091191C"/>
    <w:rsid w:val="0092487A"/>
    <w:rsid w:val="0093717B"/>
    <w:rsid w:val="00940819"/>
    <w:rsid w:val="00940DFC"/>
    <w:rsid w:val="00943732"/>
    <w:rsid w:val="00953412"/>
    <w:rsid w:val="009634A1"/>
    <w:rsid w:val="00964861"/>
    <w:rsid w:val="00970931"/>
    <w:rsid w:val="00977A17"/>
    <w:rsid w:val="00980B7E"/>
    <w:rsid w:val="00983079"/>
    <w:rsid w:val="00990B9A"/>
    <w:rsid w:val="00993EBF"/>
    <w:rsid w:val="00997E45"/>
    <w:rsid w:val="009A0B6B"/>
    <w:rsid w:val="009A2F46"/>
    <w:rsid w:val="009B4D99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10725"/>
    <w:rsid w:val="00A1121B"/>
    <w:rsid w:val="00A16537"/>
    <w:rsid w:val="00A267E0"/>
    <w:rsid w:val="00A27033"/>
    <w:rsid w:val="00A3058D"/>
    <w:rsid w:val="00A32974"/>
    <w:rsid w:val="00A35877"/>
    <w:rsid w:val="00A43473"/>
    <w:rsid w:val="00A4417A"/>
    <w:rsid w:val="00A5677C"/>
    <w:rsid w:val="00A56A2D"/>
    <w:rsid w:val="00A70107"/>
    <w:rsid w:val="00A73D37"/>
    <w:rsid w:val="00A742E0"/>
    <w:rsid w:val="00A74CF3"/>
    <w:rsid w:val="00A74FB5"/>
    <w:rsid w:val="00A77875"/>
    <w:rsid w:val="00A80075"/>
    <w:rsid w:val="00A85357"/>
    <w:rsid w:val="00A92DE3"/>
    <w:rsid w:val="00A9515E"/>
    <w:rsid w:val="00A96136"/>
    <w:rsid w:val="00AA00F5"/>
    <w:rsid w:val="00AA1DB7"/>
    <w:rsid w:val="00AA4EB5"/>
    <w:rsid w:val="00AA55C7"/>
    <w:rsid w:val="00AB0867"/>
    <w:rsid w:val="00AB23D7"/>
    <w:rsid w:val="00AC1798"/>
    <w:rsid w:val="00AC17C4"/>
    <w:rsid w:val="00AC2F04"/>
    <w:rsid w:val="00AC4EBE"/>
    <w:rsid w:val="00AC6BC9"/>
    <w:rsid w:val="00AE13BF"/>
    <w:rsid w:val="00AE33C6"/>
    <w:rsid w:val="00AE73AA"/>
    <w:rsid w:val="00AF1C55"/>
    <w:rsid w:val="00AF20AC"/>
    <w:rsid w:val="00AF3B5D"/>
    <w:rsid w:val="00AF65A8"/>
    <w:rsid w:val="00AF709A"/>
    <w:rsid w:val="00B05A12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4010"/>
    <w:rsid w:val="00B525C4"/>
    <w:rsid w:val="00B53E6D"/>
    <w:rsid w:val="00B568C5"/>
    <w:rsid w:val="00B62AB0"/>
    <w:rsid w:val="00B67951"/>
    <w:rsid w:val="00B77ABD"/>
    <w:rsid w:val="00B81CF3"/>
    <w:rsid w:val="00B830CE"/>
    <w:rsid w:val="00B85ECF"/>
    <w:rsid w:val="00B85EDF"/>
    <w:rsid w:val="00B87BAD"/>
    <w:rsid w:val="00B92C17"/>
    <w:rsid w:val="00B95927"/>
    <w:rsid w:val="00BA1B64"/>
    <w:rsid w:val="00BA7390"/>
    <w:rsid w:val="00BB25B0"/>
    <w:rsid w:val="00BC514B"/>
    <w:rsid w:val="00BC56D4"/>
    <w:rsid w:val="00BC7738"/>
    <w:rsid w:val="00BD0C6E"/>
    <w:rsid w:val="00BD6679"/>
    <w:rsid w:val="00BE438C"/>
    <w:rsid w:val="00BE4E8F"/>
    <w:rsid w:val="00BE7323"/>
    <w:rsid w:val="00BF19B7"/>
    <w:rsid w:val="00BF1F78"/>
    <w:rsid w:val="00C01120"/>
    <w:rsid w:val="00C025A6"/>
    <w:rsid w:val="00C12C78"/>
    <w:rsid w:val="00C15FE2"/>
    <w:rsid w:val="00C17404"/>
    <w:rsid w:val="00C23BDF"/>
    <w:rsid w:val="00C23F0A"/>
    <w:rsid w:val="00C2606B"/>
    <w:rsid w:val="00C260EE"/>
    <w:rsid w:val="00C31588"/>
    <w:rsid w:val="00C42A69"/>
    <w:rsid w:val="00C56B74"/>
    <w:rsid w:val="00C56C33"/>
    <w:rsid w:val="00C57446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D73"/>
    <w:rsid w:val="00C76E8A"/>
    <w:rsid w:val="00C82121"/>
    <w:rsid w:val="00C86E89"/>
    <w:rsid w:val="00C904A6"/>
    <w:rsid w:val="00C949AE"/>
    <w:rsid w:val="00C952E5"/>
    <w:rsid w:val="00C96B09"/>
    <w:rsid w:val="00C9799B"/>
    <w:rsid w:val="00CA0EB0"/>
    <w:rsid w:val="00CA4328"/>
    <w:rsid w:val="00CA6638"/>
    <w:rsid w:val="00CA69F7"/>
    <w:rsid w:val="00CB1CC9"/>
    <w:rsid w:val="00CC7390"/>
    <w:rsid w:val="00CC751F"/>
    <w:rsid w:val="00CD110D"/>
    <w:rsid w:val="00CD1227"/>
    <w:rsid w:val="00CD23EF"/>
    <w:rsid w:val="00CE6E9D"/>
    <w:rsid w:val="00CF0481"/>
    <w:rsid w:val="00D12295"/>
    <w:rsid w:val="00D17062"/>
    <w:rsid w:val="00D301A2"/>
    <w:rsid w:val="00D318B7"/>
    <w:rsid w:val="00D33312"/>
    <w:rsid w:val="00D34692"/>
    <w:rsid w:val="00D41C60"/>
    <w:rsid w:val="00D43F7D"/>
    <w:rsid w:val="00D45DE0"/>
    <w:rsid w:val="00D5213C"/>
    <w:rsid w:val="00D538D8"/>
    <w:rsid w:val="00D54C9C"/>
    <w:rsid w:val="00D74B74"/>
    <w:rsid w:val="00D803BB"/>
    <w:rsid w:val="00D852DF"/>
    <w:rsid w:val="00D8624F"/>
    <w:rsid w:val="00D9192F"/>
    <w:rsid w:val="00D93475"/>
    <w:rsid w:val="00D93B69"/>
    <w:rsid w:val="00D95DB9"/>
    <w:rsid w:val="00DA0733"/>
    <w:rsid w:val="00DA3D8A"/>
    <w:rsid w:val="00DA4B88"/>
    <w:rsid w:val="00DB0D1C"/>
    <w:rsid w:val="00DB32DD"/>
    <w:rsid w:val="00DB5F6C"/>
    <w:rsid w:val="00DB7B29"/>
    <w:rsid w:val="00DD10AB"/>
    <w:rsid w:val="00DD2657"/>
    <w:rsid w:val="00DD2E9B"/>
    <w:rsid w:val="00DD7E67"/>
    <w:rsid w:val="00DE0862"/>
    <w:rsid w:val="00DE29A1"/>
    <w:rsid w:val="00DE4EE0"/>
    <w:rsid w:val="00DF28E8"/>
    <w:rsid w:val="00DF5AFB"/>
    <w:rsid w:val="00DF79A5"/>
    <w:rsid w:val="00E10634"/>
    <w:rsid w:val="00E1297B"/>
    <w:rsid w:val="00E1452C"/>
    <w:rsid w:val="00E14758"/>
    <w:rsid w:val="00E20F66"/>
    <w:rsid w:val="00E212E9"/>
    <w:rsid w:val="00E22BC2"/>
    <w:rsid w:val="00E247BB"/>
    <w:rsid w:val="00E27552"/>
    <w:rsid w:val="00E30DC9"/>
    <w:rsid w:val="00E35E8D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6C2B"/>
    <w:rsid w:val="00E82511"/>
    <w:rsid w:val="00E87819"/>
    <w:rsid w:val="00E938AB"/>
    <w:rsid w:val="00E974F6"/>
    <w:rsid w:val="00EA04B5"/>
    <w:rsid w:val="00EA1B58"/>
    <w:rsid w:val="00EA36E5"/>
    <w:rsid w:val="00EA691C"/>
    <w:rsid w:val="00EA7F7A"/>
    <w:rsid w:val="00EB0F12"/>
    <w:rsid w:val="00EB1E04"/>
    <w:rsid w:val="00EB5EF1"/>
    <w:rsid w:val="00EB664B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EF37C2"/>
    <w:rsid w:val="00F07FE4"/>
    <w:rsid w:val="00F11A93"/>
    <w:rsid w:val="00F12957"/>
    <w:rsid w:val="00F14AFF"/>
    <w:rsid w:val="00F22AE8"/>
    <w:rsid w:val="00F370C1"/>
    <w:rsid w:val="00F4500E"/>
    <w:rsid w:val="00F46B06"/>
    <w:rsid w:val="00F51209"/>
    <w:rsid w:val="00F5460C"/>
    <w:rsid w:val="00F56929"/>
    <w:rsid w:val="00F70B98"/>
    <w:rsid w:val="00F71062"/>
    <w:rsid w:val="00F73807"/>
    <w:rsid w:val="00F75CA0"/>
    <w:rsid w:val="00F76FF6"/>
    <w:rsid w:val="00F81906"/>
    <w:rsid w:val="00F831D1"/>
    <w:rsid w:val="00F86852"/>
    <w:rsid w:val="00F903FF"/>
    <w:rsid w:val="00F935FD"/>
    <w:rsid w:val="00FA38D0"/>
    <w:rsid w:val="00FB6DE3"/>
    <w:rsid w:val="00FC3AC7"/>
    <w:rsid w:val="00FC59D5"/>
    <w:rsid w:val="00FD1AD6"/>
    <w:rsid w:val="00FD2615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68B8A-A075-4A0F-9130-5516E36B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Е. Филатова</cp:lastModifiedBy>
  <cp:revision>2</cp:revision>
  <cp:lastPrinted>2024-04-24T12:27:00Z</cp:lastPrinted>
  <dcterms:created xsi:type="dcterms:W3CDTF">2024-04-25T09:38:00Z</dcterms:created>
  <dcterms:modified xsi:type="dcterms:W3CDTF">2024-04-25T09:38:00Z</dcterms:modified>
</cp:coreProperties>
</file>